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AF6EF"/>
  <w:body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0"/>
          <w:insideV w:val="single" w:color="FAF6E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FFFFF" w:color="auto" w:val="clear"/>
            <w:tcMar>
              <w:top w:type="dxa" w:w="160"/>
              <w:left w:type="dxa" w:w="180"/>
              <w:bottom w:type="dxa" w:w="140"/>
              <w:right w:type="dxa" w:w="160"/>
            </w:tcMar>
            <w:vAlign w:val="center"/>
          </w:tcPr>
          <w:p>
            <w:pPr>
              <w:spacing w:after="0"/>
            </w:pPr>
            <w:r>
              <w:drawing>
                <wp:inline distT="0" distB="0" distL="0" distR="0">
                  <wp:extent cx="3810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single" w:color="FAF6EF" w:sz="0"/>
              <w:left w:val="single" w:color="FAF6EF" w:sz="0"/>
              <w:bottom w:val="single" w:color="FAF6EF" w:sz="0"/>
              <w:right w:val="single" w:color="FAF6EF" w:sz="0"/>
            </w:tcBorders>
            <w:shd w:fill="FAF6EF" w:color="auto" w:val="clear"/>
            <w:tcMar>
              <w:top w:type="dxa" w:w="40"/>
              <w:left w:type="dxa" w:w="260"/>
              <w:bottom w:type="dxa" w:w="4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30"/>
                <w:sz w:val="13"/>
                <w:szCs w:val="13"/>
              </w:rPr>
              <w:t xml:space="preserve">İNSAN KAYNAKLARI VE ORGANİZASYONEL GELİŞİM · FORM KÜTÜPHANESİ</w:t>
            </w:r>
          </w:p>
          <w:p>
            <w:pPr>
              <w:spacing w:after="60" w:line="300"/>
            </w:pPr>
            <w:r>
              <w:rPr>
                <w:rFonts w:ascii="Arial" w:cs="Arial" w:eastAsia="Arial" w:hAnsi="Arial"/>
                <w:b/>
                <w:bCs/>
                <w:color w:val="E0040C"/>
                <w:sz w:val="44"/>
                <w:szCs w:val="44"/>
              </w:rPr>
              <w:t xml:space="preserve">IK-FR-36  </w:t>
            </w:r>
            <w:r>
              <w:rPr>
                <w:rFonts w:ascii="Arial" w:cs="Arial" w:eastAsia="Arial" w:hAnsi="Arial"/>
                <w:b/>
                <w:bCs/>
                <w:color w:val="141414"/>
                <w:sz w:val="30"/>
                <w:szCs w:val="30"/>
              </w:rPr>
              <w:t xml:space="preserve">Hedef Kartı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4A4643"/>
                <w:sz w:val="17"/>
                <w:szCs w:val="17"/>
              </w:rPr>
              <w:t xml:space="preserve">Şirket–birim–birey kaskadından türetilen bireysel hedefleri (en az üç, en fazla yedi; ağırlık toplamı yüzde yüz) ölçüt, hedef değer, ölçüm kaynağı ve davranış beklentileriyle tek kartta tanımlar; Temmuz ara değerlendirmesini, dönem sonu öz ve yönetici değerlendirmesini, kalibre edilmiş sonucu ve çalışanın imzasını bu kartta toplar. Onaysız kart geçersizdir; hedef kartı olmayan çalışan dönem sonunda değerlendirilemez.</w:t>
            </w:r>
          </w:p>
        </w:tc>
      </w:tr>
    </w:tbl>
    <w:p>
      <w:pPr>
        <w:pBdr>
          <w:bottom w:val="single" w:color="E0040C" w:sz="14" w:space="1"/>
        </w:pBdr>
        <w:spacing w:after="160" w:before="120"/>
        <w:ind w:right="5200"/>
      </w:pPr>
    </w:p>
    <w:tbl>
      <w:tblPr>
        <w:tblW w:type="dxa" w:w="9638"/>
        <w:tblBorders>
          <w:top w:val="single" w:color="F1EBDF" w:sz="0"/>
          <w:left w:val="single" w:color="F1EBDF" w:sz="0"/>
          <w:bottom w:val="single" w:color="F1EBDF" w:sz="0"/>
          <w:right w:val="single" w:color="F1EBDF" w:sz="0"/>
          <w:insideH w:val="single" w:color="FAF6EF" w:sz="8"/>
          <w:insideV w:val="single" w:color="FAF6EF" w:sz="8"/>
        </w:tblBorders>
        <w:tblLayout w:type="fixed"/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BAĞLI BELGE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IK-PR-14 Performans Yönetimi Döngüsü Prosedürü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ALT SÜREÇ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I.01 Hedef belirleme · I.02 Sürekli geri bildirim ve ara değerlendirme · I.03 Dönem sonu değerlendirme ve kalibrasyon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KN-53 · KN-69 · KN-54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GÖSTERGE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KPI-36 · KPI-37</w:t>
            </w:r>
          </w:p>
        </w:tc>
      </w:tr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DOLDURMA ZINCIRI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Çalışan  →  Bölüm Yöneticisi  →  İK Yöneticisi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GIZLILIK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DAHİLİ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5 yıl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SÜRÜM · DURUM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v1.0 · YÜRÜRLÜKTE</w:t>
            </w:r>
          </w:p>
        </w:tc>
      </w:tr>
    </w:tbl>
    <w:p>
      <w:pPr>
        <w:spacing w:after="20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Çalışan ve Dönem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4818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SICIL NUMARASI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AD SOYAD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POZISYON / KADEME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BIRIM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BÖLÜM YÖNETICISI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PERFORMANS DÖNEMI (YIL)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KART TÜRÜ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Yıllık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İşe giriş / rol değişikliği (30 gün)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4818"/>
        <w:gridCol w:w="2409"/>
        <w:gridCol w:w="2411"/>
      </w:tblGrid>
      <w:tr>
        <w:trPr>
          <w:cantSplit/>
        </w:trPr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BAĞLI BIRIM HEDEF SETI (GM ONAYLI; TARIH)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GÖREV TANIMI SÜRÜMÜ (IK-FR-02)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ONAY SON TARIHI (DÖNEM BAŞI + 30 GÜN)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Hedefler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3–7 hedef · SMART · ağırlık toplamı %100 · her hedef bir birim hedefine bağlı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2832"/>
        <w:gridCol w:w="1416"/>
        <w:gridCol w:w="2124"/>
        <w:gridCol w:w="1062"/>
        <w:gridCol w:w="885"/>
        <w:gridCol w:w="799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283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Hedef (sonuç ifadesi)</w:t>
            </w:r>
          </w:p>
        </w:tc>
        <w:tc>
          <w:tcPr>
            <w:tcW w:type="dxa" w:w="141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Bağlı birim hedefi</w:t>
            </w:r>
          </w:p>
        </w:tc>
        <w:tc>
          <w:tcPr>
            <w:tcW w:type="dxa" w:w="212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Ölçüt ve ölçüm kaynağı</w:t>
            </w:r>
          </w:p>
        </w:tc>
        <w:tc>
          <w:tcPr>
            <w:tcW w:type="dxa" w:w="106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Hedef değer</w:t>
            </w:r>
          </w:p>
        </w:tc>
        <w:tc>
          <w:tcPr>
            <w:tcW w:type="dxa" w:w="885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Süre</w:t>
            </w:r>
          </w:p>
        </w:tc>
        <w:tc>
          <w:tcPr>
            <w:tcW w:type="dxa" w:w="799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Ağırlık %</w:t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6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7</w:t>
            </w:r>
          </w:p>
        </w:tc>
        <w:tc>
          <w:tcPr>
            <w:tcW w:type="dxa" w:w="283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12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06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88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79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AĞIRLIK TOPLAMI (= 100)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HEDEF SAYISI (3–7)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KALITE ÖRNEKLEMI (İKY, MART)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Uygun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İade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C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Davranış Beklentileri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Yetkinlik sözlüğünden · seviye tanımlı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2849"/>
        <w:gridCol w:w="5128"/>
        <w:gridCol w:w="1141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2849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Yetkinlik (sözlük kodu)</w:t>
            </w:r>
          </w:p>
        </w:tc>
        <w:tc>
          <w:tcPr>
            <w:tcW w:type="dxa" w:w="512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Beklenen seviye ve davranış göstergesi</w:t>
            </w:r>
          </w:p>
        </w:tc>
        <w:tc>
          <w:tcPr>
            <w:tcW w:type="dxa" w:w="114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Ağırlık %</w:t>
            </w:r>
          </w:p>
        </w:tc>
      </w:tr>
      <w:tr>
        <w:trPr>
          <w:cantSplit/>
          <w:trHeight w:val="4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28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512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28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512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28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512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28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512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D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Kart Onayı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Dönem başı + 30 gün · KN-53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ÇALIŞAN ONAY TARIHI / IMZA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YÖNETICI ONAY TARIHI / IMZA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ANLAŞMAZLIKTA İKY ARABULUCULUĞU / ÜST YÖNETICI KARARI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ONAY BIÇIMI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Elektronik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Islak imza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KAPSAMA RAPORUNA IŞLENDI (KPI-36)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ÜST YÖNETIM KARTI — YK ONAYI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Uygulanamaz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Alındı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E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Ara Değerlendirme (Temmuz)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Hedef revizyonu için tek meşru an · KN-69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715"/>
        <w:gridCol w:w="2681"/>
        <w:gridCol w:w="1251"/>
        <w:gridCol w:w="2681"/>
        <w:gridCol w:w="1790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715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Hedef no</w:t>
            </w:r>
          </w:p>
        </w:tc>
        <w:tc>
          <w:tcPr>
            <w:tcW w:type="dxa" w:w="268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İlerleme (ölçüm kaynağından)</w:t>
            </w:r>
          </w:p>
        </w:tc>
        <w:tc>
          <w:tcPr>
            <w:tcW w:type="dxa" w:w="125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Durum</w:t>
            </w:r>
          </w:p>
        </w:tc>
        <w:tc>
          <w:tcPr>
            <w:tcW w:type="dxa" w:w="268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Revizyon (gerekçeli; yeni hedef değer)</w:t>
            </w:r>
          </w:p>
        </w:tc>
        <w:tc>
          <w:tcPr>
            <w:tcW w:type="dxa" w:w="179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Destek ihtiyacı</w:t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6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7</w:t>
            </w:r>
          </w:p>
        </w:tc>
        <w:tc>
          <w:tcPr>
            <w:tcW w:type="dxa" w:w="715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25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68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GÖRÜŞME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YAZILI ÖZET ÇALIŞANLA PAYLAŞILDI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ERKEN TESPIT — GELIŞIM PLANI (IK-FR-37) AÇILDI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F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Dönem Sonu Değerlendirme (Aralık)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Sonuç ölçüm kaynağından doğrulanır · kaynağı olmayan beyan kabul edilmez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784"/>
        <w:gridCol w:w="2549"/>
        <w:gridCol w:w="1372"/>
        <w:gridCol w:w="1470"/>
        <w:gridCol w:w="2943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78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Hedef no</w:t>
            </w:r>
          </w:p>
        </w:tc>
        <w:tc>
          <w:tcPr>
            <w:tcW w:type="dxa" w:w="2549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Gerçekleşme (kaynak ref.)</w:t>
            </w:r>
          </w:p>
        </w:tc>
        <w:tc>
          <w:tcPr>
            <w:tcW w:type="dxa" w:w="137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Öz değerlendirme (D1–D4)</w:t>
            </w:r>
          </w:p>
        </w:tc>
        <w:tc>
          <w:tcPr>
            <w:tcW w:type="dxa" w:w="147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Yönetici değerlendirmesi (D1–D4)</w:t>
            </w:r>
          </w:p>
        </w:tc>
        <w:tc>
          <w:tcPr>
            <w:tcW w:type="dxa" w:w="2943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Gerekçe (davranış ve sonuç odaklı)</w:t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6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7</w:t>
            </w:r>
          </w:p>
        </w:tc>
        <w:tc>
          <w:tcPr>
            <w:tcW w:type="dxa" w:w="78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49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37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47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3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HEDEF SONUCU — AĞIRLIKLI (D1–D4)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DAVRANIŞ SONUCU (D1–D4)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ÖN DÜZEY (KALIBRASYON ÖNCESI; ÇALIŞANLA PAYLAŞILMAZ)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DEĞERLENDIRME TARIHI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spacing w:after="100" w:line="250"/>
        <w:jc w:val="both"/>
      </w:pPr>
      <w:r>
        <w:rPr>
          <w:rFonts w:ascii="Arial" w:cs="Arial" w:eastAsia="Arial" w:hAnsi="Arial"/>
          <w:color w:val="4A4643"/>
          <w:sz w:val="16"/>
          <w:szCs w:val="16"/>
        </w:rPr>
        <w:t xml:space="preserve">Ölçek: D4 beklentinin üstünde · D3 beklentiyi karşılıyor · D2 kısmen karşılıyor · D1 karşılamıyor. Dağılım rehberi: D4 %10–20 · D3 %60–70 · D2 %10–20 · D1 ≤ %5 (IK-PL-06).</w:t>
      </w: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G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Kalibre Edilmiş Sonuç, Paylaşım ve İtiraz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Ocak kalibrasyon (GM başkanlığında) · Şubat sonuç · 10 iş günü itiraz · KN-54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KALIBRASYON TOPLANTISI TARIHI / TUTANAK REF.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KALIBRE EDILMIŞ SONUÇ (D1–D4)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ÖN DÜZEYDEN FARKLIYSA GEREKÇE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SONUÇ PAYLAŞIM TARIHI (ŞUBAT)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6426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ÇALIŞAN GÖRÜŞÜ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İTIRAZ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Yok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Var — tarih</w:t>
            </w:r>
          </w:p>
        </w:tc>
        <w:tc>
          <w:tcPr>
            <w:tcW w:type="dxa" w:w="6426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İTIRAZ KARARI (ÜST YÖNETICI + İKY; 10 IŞ GÜNÜ)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SONUCUN KULLANIM ALANI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Ücret (IK-PL-02)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Gelişim (IK-PL-07)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Yetenek haritası (I.04)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Gelişim planı (IK-FR-37)</w:t>
            </w:r>
          </w:p>
        </w:tc>
      </w:tr>
    </w:tbl>
    <w:p>
      <w:pPr>
        <w:spacing w:after="90" w:line="200"/>
      </w:pPr>
    </w:p>
    <w:p>
      <w:pPr>
        <w:spacing w:after="40" w:lin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E0040C" w:sz="30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3"/>
                <w:szCs w:val="13"/>
              </w:rPr>
              <w:t xml:space="preserve">KURAL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141414"/>
                <w:sz w:val="15"/>
                <w:szCs w:val="15"/>
              </w:rPr>
              <w:t xml:space="preserve">Hedef kartı dönem başını izleyen 30 gün içinde onaylanır; kapsama oranı %100 hedeflidir (KN-53). Ara değerlendirme hedef revizyonu için tek meşru andır (KN-69). Sonuç kalibrasyondan önce çalışanla paylaşılmaz; kalibre edilmemiş sonuç hiçbir karara girdi olamaz; kalibre edilmiş sonuç yazılı paylaşılır ve imzalanır (KN-54).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H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Onay ve İmza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Doldurma zinciri sırasına göre · ad, unvan, tarih ve imza eksiksiz doldurulur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300"/>
        <w:gridCol w:w="2500"/>
        <w:gridCol w:w="2000"/>
        <w:gridCol w:w="1300"/>
        <w:gridCol w:w="1538"/>
      </w:tblGrid>
      <w:tr>
        <w:trPr>
          <w:tblHeader/>
        </w:trPr>
        <w:tc>
          <w:tcPr>
            <w:tcW w:type="dxa" w:w="2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Aşama / Rol</w:t>
            </w:r>
          </w:p>
        </w:tc>
        <w:tc>
          <w:tcPr>
            <w:tcW w:type="dxa" w:w="25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Ad Soyad</w:t>
            </w:r>
          </w:p>
        </w:tc>
        <w:tc>
          <w:tcPr>
            <w:tcW w:type="dxa" w:w="20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Unvan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Tarih</w:t>
            </w:r>
          </w:p>
        </w:tc>
        <w:tc>
          <w:tcPr>
            <w:tcW w:type="dxa" w:w="15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İmza</w:t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Çalışan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Çalışan — kart onayı ve sonuç tebellüğü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Bölüm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Bölüm Yöneticisi — hedefler, ara ve dönem sonu değerlendirme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İK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İK Yöneticisi — kalite örneklemi, kalibrasyon kaydı, itiraz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160" w:line="200"/>
      </w:pPr>
    </w:p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10"/>
          <w:insideV w:val="single" w:color="FAF6E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DOLDURMA TALİMATI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1.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Çalışan görev tanımı ve onaylı birim hedef setinden hedef önerir; yönetici SMART ölçütleri, ölçüm kaynağını, ağırlıkları ve yetkinlik sözlüğünden davranış beklentilerini ekler; kart dönem başını izleyen 30 gün içinde her iki tarafça onaylanır (D bölümü).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2.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İK Yöneticisi Mart ayında örneklemle ölçülebilirlik, üst hedefe bağ ve ağırlık dağılımını kontrol eder; ölçülemeyen veya bağsız hedef yöneticiye iade edilir.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3.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Temmuz ara değerlendirmesi E bölümüne yazılı özetle işlenir; hedef revizyonu yalnızca burada ve gerekçeyle yapılır; erken tespitte gelişim planı (IK-FR-37) açılır.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4.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Aralık ayında öz ve yönetici değerlendirmesi F bölümünde ölçüm kaynağıyla yapılır; ön düzey kalibrasyona kadar paylaşılmaz; Ocak kalibrasyonu sonrası kalibre edilmiş sonuç Şubat ayında G bölümünde yazılı paylaşılır ve imzalanır; 10 iş günü içinde itiraz edilebilir.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Bu form KN-53 Hedef kartı kapsama kontrolü (30 gün) · KN-69 Ara değerlendirme kapsama kontrolü · KN-54 Kalibrasyon tutanağı ve sonuç paylaşım kontrolü kontrollerinin kanıt belgesidir; onaylı kart sayısı KPI-36 (kapsama), ara değerlendirme kaydı PR14-G1, kalibre edilmiş sonuç dağılımı KPI-37 ve itiraz oranı PR14-G2 hesaplarına girer; sonuç ücret (IK-PL-02), gelişim (IK-PL-07), yetenek haritası ve yedekleme (IK-FR-07) kararlarının girdisidir.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KAYIT VE 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Kayıt ortamı: performans sistemi (kayıt sahibi) ve özlük dosyası H kümesi (imzalı kalibre sonuç). Saklama süresi: 5 yıl; IK-PR-08 saklama tablosuna (IK-FR-20) göre uygulanır.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0B0" w:sz="4" w:space="3"/>
      </w:pBdr>
      <w:tabs>
        <w:tab w:val="center" w:pos="4819"/>
        <w:tab w:val="right" w:pos="9638"/>
      </w:tabs>
      <w:spacing w:after="0" w:before="0"/>
    </w:pPr>
    <w:r>
      <w:drawing>
        <wp:inline distT="0" distB="0" distL="0" distR="0">
          <wp:extent cx="1238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4643"/>
        <w:sz w:val="15"/>
        <w:szCs w:val="15"/>
      </w:rPr>
      <w:t xml:space="preserve">   DOTEKS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4A4643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A847C"/>
        <w:sz w:val="15"/>
        <w:szCs w:val="15"/>
      </w:rPr>
      <w:t xml:space="preserve">	IK-PR-14 eki · Saklama: 5 yıl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0B0" w:sz="4" w:space="3"/>
      </w:pBdr>
      <w:tabs>
        <w:tab w:val="right" w:pos="9638"/>
      </w:tabs>
      <w:spacing w:after="0"/>
    </w:pPr>
    <w:r>
      <w:rPr>
        <w:rFonts w:ascii="Arial" w:cs="Arial" w:eastAsia="Arial" w:hAnsi="Arial"/>
        <w:color w:val="4A4643"/>
        <w:sz w:val="15"/>
        <w:szCs w:val="15"/>
      </w:rPr>
      <w:t xml:space="preserve">IK-FR-36  ·  Hedef Kartı</w:t>
    </w:r>
    <w:r>
      <w:rPr>
        <w:rFonts w:ascii="Arial" w:cs="Arial" w:eastAsia="Arial" w:hAnsi="Arial"/>
        <w:b/>
        <w:bCs/>
        <w:color w:val="E0040C"/>
        <w:sz w:val="15"/>
        <w:szCs w:val="15"/>
      </w:rPr>
      <w:t xml:space="preserve">	v1.0  ·  DAHİLİ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4141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e860ebf3e81dd7e334e82198e5ecb57fbee9c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e860ebf3e81dd7e334e82198e5ecb57fbee9cc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IK-FR-36 Hedef Kartı</dc:title>
  <dc:creator>DOTEKS · İNSAN KAYNAKLARI VE ORGANİZASYONEL GELİŞİM · FORM KÜTÜPHANESİ</dc:creator>
  <dc:description>Şirket–birim–birey kaskadından türetilen bireysel hedefleri (en az üç, en fazla yedi; ağırlık toplamı yüzde yüz) ölçüt, hedef değer, ölçüm kaynağı ve davranış beklentileriyle tek kartta tanımlar; Temmuz ara değerlendirmesini, dönem sonu öz ve yönetici değerlendirmesini, kalibre edilmiş sonucu ve çalışanın imzasını bu kartta toplar. Onaysız kart geçersizdir; hedef kartı olmayan çalışan dönem sonunda değerlendirilemez.</dc:description>
  <cp:lastModifiedBy>Un-named</cp:lastModifiedBy>
  <cp:revision>1</cp:revision>
  <dcterms:created xsi:type="dcterms:W3CDTF">2026-09-23T22:58:34.477Z</dcterms:created>
  <dcterms:modified xsi:type="dcterms:W3CDTF">2026-09-23T22:58:34.477Z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