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AF6EF"/>
  <w:body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0"/>
          <w:insideV w:val="single" w:color="FAF6EF" w:sz="0"/>
        </w:tblBorders>
        <w:tblLayout w:type="fixed"/>
      </w:tblPr>
      <w:tblGrid>
        <w:gridCol w:w="2000"/>
        <w:gridCol w:w="7638"/>
      </w:tblGrid>
      <w:tr>
        <w:tc>
          <w:tcPr>
            <w:tcW w:type="dxa" w:w="20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FFFFF" w:color="auto" w:val="clear"/>
            <w:tcMar>
              <w:top w:type="dxa" w:w="160"/>
              <w:left w:type="dxa" w:w="180"/>
              <w:bottom w:type="dxa" w:w="140"/>
              <w:right w:type="dxa" w:w="160"/>
            </w:tcMar>
            <w:vAlign w:val="center"/>
          </w:tcPr>
          <w:p>
            <w:pPr>
              <w:spacing w:after="0"/>
            </w:pPr>
            <w:r>
              <w:drawing>
                <wp:inline distT="0" distB="0" distL="0" distR="0">
                  <wp:extent cx="38100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single" w:color="FAF6EF" w:sz="0"/>
              <w:left w:val="single" w:color="FAF6EF" w:sz="0"/>
              <w:bottom w:val="single" w:color="FAF6EF" w:sz="0"/>
              <w:right w:val="single" w:color="FAF6EF" w:sz="0"/>
            </w:tcBorders>
            <w:shd w:fill="FAF6EF" w:color="auto" w:val="clear"/>
            <w:tcMar>
              <w:top w:type="dxa" w:w="40"/>
              <w:left w:type="dxa" w:w="260"/>
              <w:bottom w:type="dxa" w:w="4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30"/>
                <w:sz w:val="13"/>
                <w:szCs w:val="13"/>
              </w:rPr>
              <w:t xml:space="preserve">HUMAN RESOURCES AND ORGANISATIONAL DEVELOPMENT · FORM LIBRARY</w:t>
            </w:r>
          </w:p>
          <w:p>
            <w:pPr>
              <w:spacing w:after="60" w:line="300"/>
            </w:pPr>
            <w:r>
              <w:rPr>
                <w:rFonts w:ascii="Arial" w:cs="Arial" w:eastAsia="Arial" w:hAnsi="Arial"/>
                <w:b/>
                <w:bCs/>
                <w:color w:val="E0040C"/>
                <w:sz w:val="44"/>
                <w:szCs w:val="44"/>
              </w:rPr>
              <w:t xml:space="preserve">IK-FR-37  </w:t>
            </w:r>
            <w:r>
              <w:rPr>
                <w:rFonts w:ascii="Arial" w:cs="Arial" w:eastAsia="Arial" w:hAnsi="Arial"/>
                <w:b/>
                <w:bCs/>
                <w:color w:val="141414"/>
                <w:sz w:val="30"/>
                <w:szCs w:val="30"/>
              </w:rPr>
              <w:t xml:space="preserve">Performance Improvement Plan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4A4643"/>
                <w:sz w:val="17"/>
                <w:szCs w:val="17"/>
              </w:rPr>
              <w:t xml:space="preserve">Documents the written improvement plan opened on a D1 result, a second consecutive D2 result or in-year early detection, with objectives, support to be provided, duration (at least 60 days), criteria and 15-day check-in records; carries the plan-end outcome (successful, partly successful — one extension of at most 60 days, unsuccessful) and the role-fit decision. Performance-based termination is considered only if the plan is complete, check-ins are recorded, a defence has been taken and Legal Counsel's opinion is favourable.</w:t>
            </w:r>
          </w:p>
        </w:tc>
      </w:tr>
    </w:tbl>
    <w:p>
      <w:pPr>
        <w:pBdr>
          <w:bottom w:val="single" w:color="E0040C" w:sz="14" w:space="1"/>
        </w:pBdr>
        <w:spacing w:after="160" w:before="120"/>
        <w:ind w:right="5200"/>
      </w:pPr>
    </w:p>
    <w:tbl>
      <w:tblPr>
        <w:tblW w:type="dxa" w:w="9638"/>
        <w:tblBorders>
          <w:top w:val="single" w:color="F1EBDF" w:sz="0"/>
          <w:left w:val="single" w:color="F1EBDF" w:sz="0"/>
          <w:bottom w:val="single" w:color="F1EBDF" w:sz="0"/>
          <w:right w:val="single" w:color="F1EBDF" w:sz="0"/>
          <w:insideH w:val="single" w:color="FAF6EF" w:sz="8"/>
          <w:insideV w:val="single" w:color="FAF6EF" w:sz="8"/>
        </w:tblBorders>
        <w:tblLayout w:type="fixed"/>
      </w:tblPr>
      <w:tblGrid>
        <w:gridCol w:w="2409"/>
        <w:gridCol w:w="2409"/>
        <w:gridCol w:w="2409"/>
        <w:gridCol w:w="2411"/>
      </w:tblGrid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PARENT DOCUMENT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IK-PR-14 Performance Management Cycle Procedure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SUB-PROCESS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I.05 Underperformance management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CONTROL LINK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KN-55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INDICATOR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KPI-53</w:t>
            </w:r>
          </w:p>
        </w:tc>
      </w:tr>
      <w:tr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COMPLETION CHAIN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Line Manager  →  Employee  →  HR Manager  →  Legal Counsel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CONFIDENTIALITY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INTERNAL</w:t>
            </w:r>
          </w:p>
        </w:tc>
        <w:tc>
          <w:tcPr>
            <w:tcW w:type="dxa" w:w="2409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RETENTION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Personnel file retention period</w:t>
            </w:r>
          </w:p>
        </w:tc>
        <w:tc>
          <w:tcPr>
            <w:tcW w:type="dxa" w:w="2411"/>
            <w:shd w:fill="F1EBDF" w:color="auto" w:val="clear"/>
            <w:tcMar>
              <w:top w:type="dxa" w:w="90"/>
              <w:left w:type="dxa" w:w="120"/>
              <w:bottom w:type="dxa" w:w="90"/>
              <w:right w:type="dxa" w:w="10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2"/>
                <w:szCs w:val="12"/>
              </w:rPr>
              <w:t xml:space="preserve">VERSION · STATUS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141414"/>
                <w:sz w:val="16"/>
                <w:szCs w:val="16"/>
              </w:rPr>
              <w:t xml:space="preserve">v1.0 · IN EFFECT</w:t>
            </w:r>
          </w:p>
        </w:tc>
      </w:tr>
    </w:tbl>
    <w:p>
      <w:pPr>
        <w:spacing w:after="20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A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Plan Opening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PLAN NUMBER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PIP-YYYY-NN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EMPLOYEE NUMBER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FULL NAME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POSITION / UNIT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4818"/>
        <w:gridCol w:w="2409"/>
        <w:gridCol w:w="2411"/>
      </w:tblGrid>
      <w:tr>
        <w:trPr>
          <w:cantSplit/>
        </w:trPr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REASON FOR OPENING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D1 result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Second-year D2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In-year early detection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BASIS (OBJECTIVE CARD / MID-YEAR REF.)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11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OPENING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409"/>
        <w:gridCol w:w="2409"/>
        <w:gridCol w:w="4820"/>
      </w:tblGrid>
      <w:tr>
        <w:trPr>
          <w:cantSplit/>
        </w:trPr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PLAN DURATION (DAYS; ≥ 60)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2409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PLAN END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4820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CHECK-IN DATES (EVERY 15 DAYS)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4818"/>
        <w:gridCol w:w="4820"/>
      </w:tblGrid>
      <w:tr>
        <w:trPr>
          <w:cantSplit/>
        </w:trPr>
        <w:tc>
          <w:tcPr>
            <w:tcW w:type="dxa" w:w="481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LEGAL COUNSEL INFORMED (DATE)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4820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UNION MEMBERSHIP / PROTECTED STATUS (LC NOTE)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B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Improvement Objectives and Criteria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3431"/>
        <w:gridCol w:w="2941"/>
        <w:gridCol w:w="1568"/>
        <w:gridCol w:w="1178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343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Improvement objective (expected level)</w:t>
            </w:r>
          </w:p>
        </w:tc>
        <w:tc>
          <w:tcPr>
            <w:tcW w:type="dxa" w:w="2941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Criterion and measurement source</w:t>
            </w:r>
          </w:p>
        </w:tc>
        <w:tc>
          <w:tcPr>
            <w:tcW w:type="dxa" w:w="156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Success threshold</w:t>
            </w:r>
          </w:p>
        </w:tc>
        <w:tc>
          <w:tcPr>
            <w:tcW w:type="dxa" w:w="11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Target date</w:t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343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56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343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56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343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56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343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941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56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C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Support and Resource Commitment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No measurement without support provided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60"/>
        <w:gridCol w:w="6478"/>
        <w:gridCol w:w="1300"/>
        <w:gridCol w:w="1300"/>
      </w:tblGrid>
      <w:tr>
        <w:trPr>
          <w:cantSplit/>
          <w:tblHeader/>
        </w:trPr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64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Item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Planned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Provided (date)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1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Training (topic, date)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2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Mentoring / on-the-job coaching (who, frequency)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3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Review of workload, tools and instructions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4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Manager availability (weekly meeting)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5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Other resource (specify)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/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D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Check-Ins (Every 15 Days)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A plan without check-in records is not deemed complete · KN-55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20"/>
        <w:gridCol w:w="516"/>
        <w:gridCol w:w="946"/>
        <w:gridCol w:w="2580"/>
        <w:gridCol w:w="2064"/>
        <w:gridCol w:w="1892"/>
        <w:gridCol w:w="1120"/>
      </w:tblGrid>
      <w:tr>
        <w:trPr>
          <w:cantSplit/>
          <w:tblHeader/>
        </w:trPr>
        <w:tc>
          <w:tcPr>
            <w:tcW w:type="dxa" w:w="5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#</w:t>
            </w:r>
          </w:p>
        </w:tc>
        <w:tc>
          <w:tcPr>
            <w:tcW w:type="dxa" w:w="51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No.</w:t>
            </w:r>
          </w:p>
        </w:tc>
        <w:tc>
          <w:tcPr>
            <w:tcW w:type="dxa" w:w="946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258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Progress (against criteria)</w:t>
            </w:r>
          </w:p>
        </w:tc>
        <w:tc>
          <w:tcPr>
            <w:tcW w:type="dxa" w:w="2064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Obstacles and additional support</w:t>
            </w:r>
          </w:p>
        </w:tc>
        <w:tc>
          <w:tcPr>
            <w:tcW w:type="dxa" w:w="1892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Employee's view</w:t>
            </w:r>
          </w:p>
        </w:tc>
        <w:tc>
          <w:tcPr>
            <w:tcW w:type="dxa" w:w="112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Signatures (LM / EMP)</w:t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1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2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3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4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5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4"/>
                <w:szCs w:val="14"/>
              </w:rPr>
              <w:t xml:space="preserve">6</w:t>
            </w:r>
          </w:p>
        </w:tc>
        <w:tc>
          <w:tcPr>
            <w:tcW w:type="dxa" w:w="51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946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58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2064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892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  <w:tc>
          <w:tcPr>
            <w:tcW w:type="dxa" w:w="112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/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E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Plan-End Assessment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ASSESSMENT DATE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i/>
                <w:iCs/>
                <w:color w:val="8A847C"/>
                <w:sz w:val="13"/>
                <w:szCs w:val="13"/>
              </w:rPr>
              <w:t xml:space="preserve">DD.MM.YYYY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2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OUTCOME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Successful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Partly successful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Unsuccessful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EXTENSION (ONCE, ≤ 60 DAYS) — NEW END DATE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RATIONALE AGAINST CRITERIA</w:t>
            </w:r>
          </w:p>
          <w:p>
            <w:pPr>
              <w:spacing w:after="0" w:line="7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C9C0B0" w:sz="0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EMPLOYEE'S VIEW AND SIGNATURE</w:t>
            </w:r>
          </w:p>
          <w:p>
            <w:pPr>
              <w:spacing w:after="0" w:line="420" w:lineRule="exact"/>
            </w:pPr>
            <w:r>
              <w:rPr>
                <w:rFonts w:ascii="Arial" w:cs="Arial" w:eastAsia="Arial" w:hAnsi="Arial"/>
                <w:color w:val="141414"/>
                <w:sz w:val="19"/>
                <w:szCs w:val="19"/>
              </w:rPr>
              <w:t xml:space="preserve"> 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CLOSED ON TIME (KPI-53)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</w:tr>
    </w:tbl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F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Role Fit and Termination Bar Check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Only on an unsuccessful outcome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6424"/>
        <w:gridCol w:w="3214"/>
      </w:tblGrid>
      <w:tr>
        <w:trPr>
          <w:cantSplit/>
        </w:trPr>
        <w:tc>
          <w:tcPr>
            <w:tcW w:type="dxa" w:w="642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ROLE CHANGE ASSESSED (POSITION MATCHING CURRENT COMPETENCIES)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 — proposal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 suitable position</w:t>
            </w:r>
          </w:p>
        </w:tc>
        <w:tc>
          <w:tcPr>
            <w:tcW w:type="dxa" w:w="3214"/>
            <w:shd w:fill="FFFFFF" w:color="auto" w:val="clear"/>
            <w:tcMar>
              <w:top w:type="dxa" w:w="60"/>
              <w:left w:type="dxa" w:w="110"/>
              <w:bottom w:type="dxa" w:w="40"/>
              <w:right w:type="dxa" w:w="90"/>
            </w:tcMar>
            <w:vAlign w:val="top"/>
          </w:tcPr>
          <w:p>
            <w:pPr>
              <w:keepNext/>
              <w:spacing w:after="30" w:line="220"/>
            </w:pPr>
            <w:r>
              <w:rPr>
                <w:rFonts w:ascii="Arial" w:cs="Arial" w:eastAsia="Arial" w:hAnsi="Arial"/>
                <w:b/>
                <w:bCs/>
                <w:color w:val="8A847C"/>
                <w:spacing w:val="18"/>
                <w:sz w:val="13"/>
                <w:szCs w:val="13"/>
              </w:rPr>
              <w:t xml:space="preserve">EMPLOYEE'S WRITTEN ACCEPTANCE (ROLE CHANGE)</w:t>
            </w:r>
          </w:p>
          <w:p>
            <w:pPr>
              <w:spacing w:after="20" w:before="40" w:line="300"/>
            </w:pP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Yes</w:t>
            </w:r>
            <w:r>
              <w:rPr>
                <w:rFonts w:ascii="Arial" w:cs="Arial" w:eastAsia="Arial" w:hAnsi="Arial"/>
                <w:color w:val="4A4643"/>
                <w:sz w:val="19"/>
                <w:szCs w:val="19"/>
              </w:rPr>
              <w:t xml:space="preserve">    ☐ </w:t>
            </w:r>
            <w:r>
              <w:rPr>
                <w:rFonts w:ascii="Arial" w:cs="Arial" w:eastAsia="Arial" w:hAnsi="Arial"/>
                <w:color w:val="141414"/>
                <w:sz w:val="16"/>
                <w:szCs w:val="16"/>
              </w:rPr>
              <w:t xml:space="preserve">No</w:t>
            </w:r>
          </w:p>
        </w:tc>
      </w:tr>
    </w:tbl>
    <w:p>
      <w:pPr>
        <w:spacing w:after="90" w:line="200"/>
      </w:pP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560"/>
        <w:gridCol w:w="6478"/>
        <w:gridCol w:w="1300"/>
        <w:gridCol w:w="1300"/>
      </w:tblGrid>
      <w:tr>
        <w:trPr>
          <w:cantSplit/>
          <w:tblHeader/>
        </w:trPr>
        <w:tc>
          <w:tcPr>
            <w:tcW w:type="dxa" w:w="56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647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Termination bar checklist (no termination decision unless all met)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Met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Missing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1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Plan completed (at least 60 days; extension included)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2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All check-ins recorded and signed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3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Support and resources recorded as provided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4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Defence obtained (IK-PR-15 procedure; IK-FR-38)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5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Legal Counsel's written opinion favourable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56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8A847C"/>
                <w:sz w:val="15"/>
                <w:szCs w:val="15"/>
              </w:rPr>
              <w:t xml:space="preserve">6</w:t>
            </w:r>
          </w:p>
        </w:tc>
        <w:tc>
          <w:tcPr>
            <w:tcW w:type="dxa" w:w="647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>General Manager approval; file handed over to IK-PR-16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Arial" w:cs="Arial" w:eastAsia="Arial" w:hAnsi="Arial"/>
                <w:color w:val="4A4643"/>
                <w:sz w:val="22"/>
                <w:szCs w:val="22"/>
              </w:rPr>
              <w:t xml:space="preserve">☐</w:t>
            </w:r>
          </w:p>
        </w:tc>
      </w:tr>
    </w:tbl>
    <w:p>
      <w:pPr>
        <w:spacing w:after="90" w:line="200"/>
      </w:pPr>
    </w:p>
    <w:p>
      <w:pPr>
        <w:spacing w:after="40" w:lin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E0040C" w:sz="30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10"/>
              <w:left w:type="dxa" w:w="220"/>
              <w:bottom w:type="dxa" w:w="11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3"/>
                <w:szCs w:val="13"/>
              </w:rPr>
              <w:t xml:space="preserve">RULE</w:t>
            </w:r>
          </w:p>
          <w:p>
            <w:pPr>
              <w:spacing w:after="0" w:line="250"/>
            </w:pPr>
            <w:r>
              <w:rPr>
                <w:rFonts w:ascii="Arial" w:cs="Arial" w:eastAsia="Arial" w:hAnsi="Arial"/>
                <w:color w:val="141414"/>
                <w:sz w:val="15"/>
                <w:szCs w:val="15"/>
              </w:rPr>
              <w:t xml:space="preserve">Underperformance is managed through a written improvement plan containing objectives, support, duration (at least 60 days) and criteria, and signed (IL-I05-1, KN-55). No performance-based termination decision before the plan is complete, check-ins are recorded and the legal opinion obtained; if any condition is missing the file is returned to the HR Manager (IL-I05-2).</w:t>
            </w:r>
          </w:p>
        </w:tc>
      </w:tr>
    </w:tbl>
    <w:p>
      <w:pPr>
        <w:spacing w:after="80" w:line="200"/>
      </w:pPr>
    </w:p>
    <w:p>
      <w:pPr>
        <w:spacing w:after="90" w:line="200"/>
      </w:pPr>
    </w:p>
    <w:p>
      <w:pPr>
        <w:pStyle w:val="Heading2"/>
        <w:keepNext/>
        <w:pBdr>
          <w:bottom w:val="single" w:color="141414" w:sz="6" w:space="4"/>
        </w:pBdr>
        <w:spacing w:after="120" w:before="260"/>
      </w:pPr>
      <w:r>
        <w:rPr>
          <w:rFonts w:ascii="Arial" w:cs="Arial" w:eastAsia="Arial" w:hAnsi="Arial"/>
          <w:b/>
          <w:bCs/>
          <w:color w:val="E0040C"/>
          <w:sz w:val="24"/>
          <w:szCs w:val="24"/>
        </w:rPr>
        <w:t xml:space="preserve">G  </w:t>
      </w:r>
      <w:r>
        <w:rPr>
          <w:rFonts w:ascii="Arial" w:cs="Arial" w:eastAsia="Arial" w:hAnsi="Arial"/>
          <w:b/>
          <w:bCs/>
          <w:color w:val="141414"/>
          <w:sz w:val="21"/>
          <w:szCs w:val="21"/>
        </w:rPr>
        <w:t xml:space="preserve">Approval and Signature</w:t>
      </w:r>
      <w:r>
        <w:rPr>
          <w:rFonts w:ascii="Arial" w:cs="Arial" w:eastAsia="Arial" w:hAnsi="Arial"/>
          <w:color w:val="8A847C"/>
          <w:sz w:val="15"/>
          <w:szCs w:val="15"/>
        </w:rPr>
        <w:t xml:space="preserve">   In completion-chain order · name, title, date and signature completed in full</w:t>
      </w:r>
    </w:p>
    <w:tbl>
      <w:tblPr>
        <w:tblW w:type="dxa" w:w="9638"/>
        <w:tblBorders>
          <w:top w:val="single" w:color="C9C0B0" w:sz="4"/>
          <w:left w:val="single" w:color="C9C0B0" w:sz="4"/>
          <w:bottom w:val="single" w:color="C9C0B0" w:sz="4"/>
          <w:right w:val="single" w:color="C9C0B0" w:sz="4"/>
          <w:insideH w:val="single" w:color="C9C0B0" w:sz="4"/>
          <w:insideV w:val="single" w:color="C9C0B0" w:sz="4"/>
        </w:tblBorders>
        <w:tblLayout w:type="fixed"/>
      </w:tblPr>
      <w:tblGrid>
        <w:gridCol w:w="2300"/>
        <w:gridCol w:w="2500"/>
        <w:gridCol w:w="2000"/>
        <w:gridCol w:w="1300"/>
        <w:gridCol w:w="1538"/>
      </w:tblGrid>
      <w:tr>
        <w:trPr>
          <w:tblHeader/>
        </w:trPr>
        <w:tc>
          <w:tcPr>
            <w:tcW w:type="dxa" w:w="2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Stage / Role</w:t>
            </w:r>
          </w:p>
        </w:tc>
        <w:tc>
          <w:tcPr>
            <w:tcW w:type="dxa" w:w="25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Full name</w:t>
            </w:r>
          </w:p>
        </w:tc>
        <w:tc>
          <w:tcPr>
            <w:tcW w:type="dxa" w:w="20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Title</w:t>
            </w:r>
          </w:p>
        </w:tc>
        <w:tc>
          <w:tcPr>
            <w:tcW w:type="dxa" w:w="1300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Date</w:t>
            </w:r>
          </w:p>
        </w:tc>
        <w:tc>
          <w:tcPr>
            <w:tcW w:type="dxa" w:w="1538"/>
            <w:shd w:fill="141414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Signature</w:t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Line Manager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Line Manager — plan, check-ins, assessment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Employee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Employee — plan receipt, check-in and outcome view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HR Manager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HR Manager — plan approval and role fit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30"/>
            </w:pPr>
            <w:r>
              <w:rPr>
                <w:rFonts w:ascii="Arial" w:cs="Arial" w:eastAsia="Arial" w:hAnsi="Arial"/>
                <w:b/>
                <w:bCs/>
                <w:color w:val="E0040C"/>
                <w:sz w:val="16"/>
                <w:szCs w:val="16"/>
              </w:rPr>
              <w:t xml:space="preserve">Legal Counsel</w:t>
            </w:r>
          </w:p>
        </w:tc>
        <w:tc>
          <w:tcPr>
            <w:tcW w:type="dxa" w:w="2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4A4643"/>
                <w:sz w:val="14"/>
                <w:szCs w:val="14"/>
              </w:rPr>
              <w:t xml:space="preserve">Legal Counsel — notification / termination opinion</w:t>
            </w:r>
          </w:p>
        </w:tc>
        <w:tc>
          <w:tcPr>
            <w:tcW w:type="dxa" w:w="13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  <w:tc>
          <w:tcPr>
            <w:tcW w:type="dxa" w:w="1538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color w:val="141414"/>
                <w:sz w:val="17"/>
                <w:szCs w:val="17"/>
              </w:rPr>
              <w:t xml:space="preserve"/>
            </w:r>
          </w:p>
        </w:tc>
      </w:tr>
    </w:tbl>
    <w:p>
      <w:pPr>
        <w:spacing w:after="160" w:line="200"/>
      </w:pPr>
    </w:p>
    <w:tbl>
      <w:tblPr>
        <w:tblW w:type="dxa" w:w="9638"/>
        <w:tblBorders>
          <w:top w:val="single" w:color="FAF6EF" w:sz="0"/>
          <w:left w:val="single" w:color="FAF6EF" w:sz="0"/>
          <w:bottom w:val="single" w:color="FAF6EF" w:sz="0"/>
          <w:right w:val="single" w:color="FAF6EF" w:sz="0"/>
          <w:insideH w:val="single" w:color="FAF6EF" w:sz="10"/>
          <w:insideV w:val="single" w:color="FAF6E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COMPLETION INSTRUCTIONS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1.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The plan is opened and signed with Sections A–C by the manager, employee and HR Manager after the triggering result; duration is at least 60 days; check-in dates are set from the start every 15 days; Legal Counsel is informed.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2.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No measurement is made until the support in Section C is provided; provision is recorded with its date; the HR Specialist tracks the check-in calendar and reports delays to the HR Manager.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3.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Every check-in is recorded in Section D with progress, obstacles, additional support and the employee's view and signed by both parties; at plan end the outcome is written in Section E against the criteria and shared with the employee; a partly successful outcome may be extended once for at most 60 days.</w:t>
            </w:r>
          </w:p>
          <w:p>
            <w:pPr>
              <w:spacing w:after="30" w:line="230"/>
              <w:ind w:left="260" w:hanging="260"/>
            </w:pPr>
            <w:r>
              <w:rPr>
                <w:rFonts w:ascii="Arial" w:cs="Arial" w:eastAsia="Arial" w:hAnsi="Arial"/>
                <w:b/>
                <w:bCs/>
                <w:color w:val="E0040C"/>
                <w:sz w:val="14"/>
                <w:szCs w:val="14"/>
              </w:rPr>
              <w:t xml:space="preserve">4.  </w:t>
            </w: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On an unsuccessful outcome a role change is assessed first; termination is submitted for General Manager approval only when the entire checklist in Section F is met and the file is handed over to IK-PR-16; the on-time closure rate is recorded in KPI-53.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CONTROL LINK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This form is the evidence document of control KN-55 Termination block before improvement plan completion; a plan without check-in records is not deemed complete; the termination bar checklist links to the IK-PR-15 defence control (KN-57) and the IK-PR-16 separation decision (KN-59); KPI-53 (on-time closure) is calculated from this form.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1EBDF" w:sz="0"/>
              <w:left w:val="single" w:color="141414" w:sz="24"/>
              <w:bottom w:val="single" w:color="F1EBDF" w:sz="0"/>
              <w:right w:val="single" w:color="F1EBDF" w:sz="0"/>
            </w:tcBorders>
            <w:shd w:fill="F1EBDF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E0040C"/>
                <w:spacing w:val="20"/>
                <w:sz w:val="12"/>
                <w:szCs w:val="12"/>
              </w:rPr>
              <w:t xml:space="preserve">RECORD AND RETENTION</w:t>
            </w:r>
          </w:p>
          <w:p>
            <w:pPr>
              <w:spacing w:after="0" w:line="230"/>
            </w:pPr>
            <w:r>
              <w:rPr>
                <w:rFonts w:ascii="Arial" w:cs="Arial" w:eastAsia="Arial" w:hAnsi="Arial"/>
                <w:color w:val="141414"/>
                <w:sz w:val="14"/>
                <w:szCs w:val="14"/>
              </w:rPr>
              <w:t xml:space="preserve">Record medium: personnel file (signed original) and HR information system document area (scanned copy). Retention: Personnel file retention period; applied under the IK-PR-08 retention schedule (IK-FR-20).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0B0" w:sz="4" w:space="3"/>
      </w:pBdr>
      <w:tabs>
        <w:tab w:val="center" w:pos="4819"/>
        <w:tab w:val="right" w:pos="9638"/>
      </w:tabs>
      <w:spacing w:after="0" w:before="0"/>
    </w:pPr>
    <w:r>
      <w:drawing>
        <wp:inline distT="0" distB="0" distL="0" distR="0">
          <wp:extent cx="1238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A4643"/>
        <w:sz w:val="15"/>
        <w:szCs w:val="15"/>
      </w:rPr>
      <w:t xml:space="preserve">   DOTEKS</w:t>
    </w:r>
    <w:r>
      <w:rPr>
        <w:rFonts w:ascii="Arial" w:cs="Arial" w:eastAsia="Arial" w:hAnsi="Arial"/>
        <w:sz w:val="15"/>
        <w:szCs w:val="15"/>
      </w:rPr>
      <w:t xml:space="preserve">	</w:t>
    </w:r>
    <w:r>
      <w:rPr>
        <w:rFonts w:ascii="Arial" w:cs="Arial" w:eastAsia="Arial" w:hAnsi="Arial"/>
        <w:color w:val="4A4643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A847C"/>
        <w:sz w:val="15"/>
        <w:szCs w:val="15"/>
      </w:rPr>
      <w:t xml:space="preserve">	Annex to IK-PR-14 · Retention: Personnel file retention period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0B0" w:sz="4" w:space="3"/>
      </w:pBdr>
      <w:tabs>
        <w:tab w:val="right" w:pos="9638"/>
      </w:tabs>
      <w:spacing w:after="0"/>
    </w:pPr>
    <w:r>
      <w:rPr>
        <w:rFonts w:ascii="Arial" w:cs="Arial" w:eastAsia="Arial" w:hAnsi="Arial"/>
        <w:color w:val="4A4643"/>
        <w:sz w:val="15"/>
        <w:szCs w:val="15"/>
      </w:rPr>
      <w:t xml:space="preserve">IK-FR-37  ·  Performance Improvement Plan</w:t>
    </w:r>
    <w:r>
      <w:rPr>
        <w:rFonts w:ascii="Arial" w:cs="Arial" w:eastAsia="Arial" w:hAnsi="Arial"/>
        <w:b/>
        <w:bCs/>
        <w:color w:val="E0040C"/>
        <w:sz w:val="15"/>
        <w:szCs w:val="15"/>
      </w:rPr>
      <w:t xml:space="preserve">	v1.0  ·  INTERNAL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414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14141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e860ebf3e81dd7e334e82198e5ecb57fbee9c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e860ebf3e81dd7e334e82198e5ecb57fbee9ccf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IK-FR-37 Performance Improvement Plan</dc:title>
  <dc:creator>DOTEKS · HUMAN RESOURCES AND ORGANISATIONAL DEVELOPMENT · FORM LIBRARY</dc:creator>
  <dc:description>Documents the written improvement plan opened on a D1 result, a second consecutive D2 result or in-year early detection, with objectives, support to be provided, duration (at least 60 days), criteria and 15-day check-in records; carries the plan-end outcome (successful, partly successful — one extension of at most 60 days, unsuccessful) and the role-fit decision. Performance-based termination is considered only if the plan is complete, check-ins are recorded, a defence has been taken and Legal Counsel's opinion is favourable.</dc:description>
  <cp:lastModifiedBy>Un-named</cp:lastModifiedBy>
  <cp:revision>1</cp:revision>
  <dcterms:created xsi:type="dcterms:W3CDTF">2026-09-23T22:58:39.024Z</dcterms:created>
  <dcterms:modified xsi:type="dcterms:W3CDTF">2026-09-23T22:58:39.024Z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